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483F" w14:textId="67444273" w:rsidR="00610019" w:rsidRPr="00CF6B21" w:rsidRDefault="006B576C" w:rsidP="006B576C">
      <w:pPr>
        <w:jc w:val="center"/>
        <w:rPr>
          <w:rFonts w:asciiTheme="minorHAnsi" w:hAnsiTheme="minorHAnsi" w:cstheme="minorHAnsi"/>
          <w:sz w:val="22"/>
          <w:szCs w:val="22"/>
        </w:rPr>
      </w:pPr>
      <w:r w:rsidRPr="00CF6B21">
        <w:rPr>
          <w:rFonts w:asciiTheme="minorHAnsi" w:hAnsiTheme="minorHAnsi" w:cstheme="minorHAnsi"/>
          <w:sz w:val="22"/>
          <w:szCs w:val="22"/>
        </w:rPr>
        <w:t>AMD A</w:t>
      </w:r>
      <w:r w:rsidR="002E17D7" w:rsidRPr="00CF6B21">
        <w:rPr>
          <w:rFonts w:asciiTheme="minorHAnsi" w:hAnsiTheme="minorHAnsi" w:cstheme="minorHAnsi"/>
          <w:sz w:val="22"/>
          <w:szCs w:val="22"/>
        </w:rPr>
        <w:t>-to</w:t>
      </w:r>
      <w:r w:rsidR="00991B8A" w:rsidRPr="00CF6B21">
        <w:rPr>
          <w:rFonts w:asciiTheme="minorHAnsi" w:hAnsiTheme="minorHAnsi" w:cstheme="minorHAnsi"/>
          <w:sz w:val="22"/>
          <w:szCs w:val="22"/>
        </w:rPr>
        <w:t>-OCT-to-RI-to</w:t>
      </w:r>
      <w:r w:rsidR="002E17D7" w:rsidRPr="00CF6B21">
        <w:rPr>
          <w:rFonts w:asciiTheme="minorHAnsi" w:hAnsiTheme="minorHAnsi" w:cstheme="minorHAnsi"/>
          <w:sz w:val="22"/>
          <w:szCs w:val="22"/>
        </w:rPr>
        <w:t>-</w:t>
      </w:r>
      <w:r w:rsidRPr="00CF6B21">
        <w:rPr>
          <w:rFonts w:asciiTheme="minorHAnsi" w:hAnsiTheme="minorHAnsi" w:cstheme="minorHAnsi"/>
          <w:sz w:val="22"/>
          <w:szCs w:val="22"/>
        </w:rPr>
        <w:t>Z</w:t>
      </w:r>
    </w:p>
    <w:p w14:paraId="43ECEB03" w14:textId="4F852F23" w:rsidR="00074227" w:rsidRPr="00CF6B21" w:rsidRDefault="00991B8A" w:rsidP="006B576C">
      <w:pPr>
        <w:jc w:val="center"/>
        <w:rPr>
          <w:rFonts w:asciiTheme="minorHAnsi" w:hAnsiTheme="minorHAnsi" w:cstheme="minorHAnsi"/>
          <w:sz w:val="22"/>
          <w:szCs w:val="22"/>
        </w:rPr>
      </w:pPr>
      <w:r w:rsidRPr="00CF6B21">
        <w:rPr>
          <w:rFonts w:asciiTheme="minorHAnsi" w:hAnsiTheme="minorHAnsi" w:cstheme="minorHAnsi"/>
          <w:sz w:val="22"/>
          <w:szCs w:val="22"/>
        </w:rPr>
        <w:t>2-Hour</w:t>
      </w:r>
      <w:r w:rsidR="00074227" w:rsidRPr="00CF6B21">
        <w:rPr>
          <w:rFonts w:asciiTheme="minorHAnsi" w:hAnsiTheme="minorHAnsi" w:cstheme="minorHAnsi"/>
          <w:sz w:val="22"/>
          <w:szCs w:val="22"/>
        </w:rPr>
        <w:t xml:space="preserve"> Course</w:t>
      </w:r>
    </w:p>
    <w:p w14:paraId="1DB1D097" w14:textId="50F6535B" w:rsidR="00074227" w:rsidRPr="00CF6B21" w:rsidRDefault="00074227" w:rsidP="006B576C">
      <w:pPr>
        <w:jc w:val="center"/>
        <w:rPr>
          <w:rFonts w:asciiTheme="minorHAnsi" w:hAnsiTheme="minorHAnsi" w:cstheme="minorHAnsi"/>
          <w:sz w:val="22"/>
          <w:szCs w:val="22"/>
        </w:rPr>
      </w:pPr>
      <w:r w:rsidRPr="00CF6B21">
        <w:rPr>
          <w:rFonts w:asciiTheme="minorHAnsi" w:hAnsiTheme="minorHAnsi" w:cstheme="minorHAnsi"/>
          <w:sz w:val="22"/>
          <w:szCs w:val="22"/>
        </w:rPr>
        <w:t>Greg Caldwell, OD, FAAO</w:t>
      </w:r>
    </w:p>
    <w:p w14:paraId="14E8AD1E" w14:textId="230CFCA2" w:rsidR="00074227" w:rsidRPr="00CF6B21" w:rsidRDefault="00CF6B21" w:rsidP="006B576C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5" w:history="1">
        <w:r w:rsidR="00074227" w:rsidRPr="00CF6B21">
          <w:rPr>
            <w:rStyle w:val="Hyperlink"/>
            <w:rFonts w:asciiTheme="minorHAnsi" w:hAnsiTheme="minorHAnsi" w:cstheme="minorHAnsi"/>
            <w:sz w:val="22"/>
            <w:szCs w:val="22"/>
          </w:rPr>
          <w:t>grubod@gmail.com</w:t>
        </w:r>
      </w:hyperlink>
    </w:p>
    <w:p w14:paraId="2B734C7D" w14:textId="5F14DA6C" w:rsidR="00074227" w:rsidRPr="00CF6B21" w:rsidRDefault="00074227" w:rsidP="006B576C">
      <w:pPr>
        <w:jc w:val="center"/>
        <w:rPr>
          <w:rFonts w:asciiTheme="minorHAnsi" w:hAnsiTheme="minorHAnsi" w:cstheme="minorHAnsi"/>
          <w:sz w:val="22"/>
          <w:szCs w:val="22"/>
        </w:rPr>
      </w:pPr>
      <w:r w:rsidRPr="00CF6B21">
        <w:rPr>
          <w:rFonts w:asciiTheme="minorHAnsi" w:hAnsiTheme="minorHAnsi" w:cstheme="minorHAnsi"/>
          <w:sz w:val="22"/>
          <w:szCs w:val="22"/>
        </w:rPr>
        <w:t>814-931-2030 cell</w:t>
      </w:r>
    </w:p>
    <w:p w14:paraId="25763D2C" w14:textId="3E0C46D6" w:rsidR="006B576C" w:rsidRPr="00CF6B21" w:rsidRDefault="006B576C" w:rsidP="00074227">
      <w:pPr>
        <w:rPr>
          <w:rFonts w:asciiTheme="minorHAnsi" w:hAnsiTheme="minorHAnsi" w:cstheme="minorHAnsi"/>
          <w:sz w:val="22"/>
          <w:szCs w:val="22"/>
        </w:rPr>
      </w:pPr>
    </w:p>
    <w:p w14:paraId="78066544" w14:textId="49B1077A" w:rsidR="00074227" w:rsidRPr="00CF6B21" w:rsidRDefault="00074227" w:rsidP="0007422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F6B2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Course Description: </w:t>
      </w:r>
    </w:p>
    <w:p w14:paraId="2778BB79" w14:textId="5DBCD6DD" w:rsidR="006C08EE" w:rsidRPr="00CF6B21" w:rsidRDefault="006C08EE" w:rsidP="0007422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8BC82F" w14:textId="1CC12C53" w:rsidR="006C08EE" w:rsidRPr="00CF6B21" w:rsidRDefault="006C08EE" w:rsidP="00074227">
      <w:pPr>
        <w:rPr>
          <w:rFonts w:asciiTheme="minorHAnsi" w:hAnsiTheme="minorHAnsi" w:cstheme="minorHAnsi"/>
          <w:sz w:val="22"/>
          <w:szCs w:val="22"/>
        </w:rPr>
      </w:pPr>
      <w:r w:rsidRPr="00CF6B21">
        <w:rPr>
          <w:rFonts w:asciiTheme="minorHAnsi" w:hAnsiTheme="minorHAnsi" w:cstheme="minorHAnsi"/>
          <w:sz w:val="22"/>
          <w:szCs w:val="22"/>
        </w:rPr>
        <w:t xml:space="preserve">This course will evaluate Age Related-Macular Degeneration (AMD) from subclinical to advanced AMD.  It will emphasize structure (OCT) and function </w:t>
      </w:r>
      <w:r w:rsidR="00991B8A" w:rsidRPr="00CF6B21">
        <w:rPr>
          <w:rFonts w:asciiTheme="minorHAnsi" w:hAnsiTheme="minorHAnsi" w:cstheme="minorHAnsi"/>
          <w:sz w:val="22"/>
          <w:szCs w:val="22"/>
        </w:rPr>
        <w:t xml:space="preserve">rod intercept </w:t>
      </w:r>
      <w:r w:rsidRPr="00CF6B21">
        <w:rPr>
          <w:rFonts w:asciiTheme="minorHAnsi" w:hAnsiTheme="minorHAnsi" w:cstheme="minorHAnsi"/>
          <w:sz w:val="22"/>
          <w:szCs w:val="22"/>
        </w:rPr>
        <w:t>(</w:t>
      </w:r>
      <w:r w:rsidR="002D29D9" w:rsidRPr="00CF6B21">
        <w:rPr>
          <w:rFonts w:asciiTheme="minorHAnsi" w:hAnsiTheme="minorHAnsi" w:cstheme="minorHAnsi"/>
          <w:sz w:val="22"/>
          <w:szCs w:val="22"/>
        </w:rPr>
        <w:t>RI-</w:t>
      </w:r>
      <w:r w:rsidRPr="00CF6B21">
        <w:rPr>
          <w:rFonts w:asciiTheme="minorHAnsi" w:hAnsiTheme="minorHAnsi" w:cstheme="minorHAnsi"/>
          <w:sz w:val="22"/>
          <w:szCs w:val="22"/>
        </w:rPr>
        <w:t xml:space="preserve">dark adaptation) </w:t>
      </w:r>
      <w:r w:rsidR="00F52AD1" w:rsidRPr="00CF6B21">
        <w:rPr>
          <w:rFonts w:asciiTheme="minorHAnsi" w:hAnsiTheme="minorHAnsi" w:cstheme="minorHAnsi"/>
          <w:sz w:val="22"/>
          <w:szCs w:val="22"/>
        </w:rPr>
        <w:t xml:space="preserve">testing </w:t>
      </w:r>
      <w:r w:rsidRPr="00CF6B21">
        <w:rPr>
          <w:rFonts w:asciiTheme="minorHAnsi" w:hAnsiTheme="minorHAnsi" w:cstheme="minorHAnsi"/>
          <w:sz w:val="22"/>
          <w:szCs w:val="22"/>
        </w:rPr>
        <w:t xml:space="preserve">to provide early detection and proper staging of AMD.  </w:t>
      </w:r>
      <w:r w:rsidR="00F52AD1" w:rsidRPr="00CF6B21">
        <w:rPr>
          <w:rFonts w:asciiTheme="minorHAnsi" w:hAnsiTheme="minorHAnsi" w:cstheme="minorHAnsi"/>
          <w:sz w:val="22"/>
          <w:szCs w:val="22"/>
        </w:rPr>
        <w:t>Once accurately diagnosed the course will discuss applying current clinical guidelines in the treatment of subclinical to advanced AMD.  The course</w:t>
      </w:r>
      <w:r w:rsidR="00991B8A" w:rsidRPr="00CF6B21">
        <w:rPr>
          <w:rFonts w:asciiTheme="minorHAnsi" w:hAnsiTheme="minorHAnsi" w:cstheme="minorHAnsi"/>
          <w:sz w:val="22"/>
          <w:szCs w:val="22"/>
        </w:rPr>
        <w:t xml:space="preserve"> will</w:t>
      </w:r>
      <w:r w:rsidR="00F52AD1" w:rsidRPr="00CF6B21">
        <w:rPr>
          <w:rFonts w:asciiTheme="minorHAnsi" w:hAnsiTheme="minorHAnsi" w:cstheme="minorHAnsi"/>
          <w:sz w:val="22"/>
          <w:szCs w:val="22"/>
        </w:rPr>
        <w:t xml:space="preserve"> </w:t>
      </w:r>
      <w:r w:rsidR="00991B8A" w:rsidRPr="00CF6B21">
        <w:rPr>
          <w:rFonts w:asciiTheme="minorHAnsi" w:hAnsiTheme="minorHAnsi" w:cstheme="minorHAnsi"/>
          <w:sz w:val="22"/>
          <w:szCs w:val="22"/>
        </w:rPr>
        <w:t>help every optometrist by calling</w:t>
      </w:r>
      <w:r w:rsidR="00F52AD1" w:rsidRPr="00CF6B21">
        <w:rPr>
          <w:rFonts w:asciiTheme="minorHAnsi" w:hAnsiTheme="minorHAnsi" w:cstheme="minorHAnsi"/>
          <w:sz w:val="22"/>
          <w:szCs w:val="22"/>
        </w:rPr>
        <w:t xml:space="preserve"> attention to OCT structural changes indicating progression. </w:t>
      </w:r>
    </w:p>
    <w:p w14:paraId="3C8DF607" w14:textId="2D24316D" w:rsidR="00F52AD1" w:rsidRPr="00CF6B21" w:rsidRDefault="00F52AD1" w:rsidP="00074227">
      <w:pPr>
        <w:rPr>
          <w:rFonts w:asciiTheme="minorHAnsi" w:hAnsiTheme="minorHAnsi" w:cstheme="minorHAnsi"/>
          <w:sz w:val="22"/>
          <w:szCs w:val="22"/>
        </w:rPr>
      </w:pPr>
    </w:p>
    <w:p w14:paraId="6088F5FE" w14:textId="13A219E0" w:rsidR="00F52AD1" w:rsidRPr="00CF6B21" w:rsidRDefault="00F52AD1" w:rsidP="00074227">
      <w:pPr>
        <w:rPr>
          <w:rFonts w:asciiTheme="minorHAnsi" w:hAnsiTheme="minorHAnsi" w:cstheme="minorHAnsi"/>
          <w:sz w:val="22"/>
          <w:szCs w:val="22"/>
        </w:rPr>
      </w:pPr>
      <w:r w:rsidRPr="00CF6B21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Objectives:</w:t>
      </w:r>
    </w:p>
    <w:p w14:paraId="4CC7585A" w14:textId="16955475" w:rsidR="00F52AD1" w:rsidRPr="00CF6B21" w:rsidRDefault="00F52AD1" w:rsidP="00074227">
      <w:pPr>
        <w:rPr>
          <w:rFonts w:asciiTheme="minorHAnsi" w:hAnsiTheme="minorHAnsi" w:cstheme="minorHAnsi"/>
          <w:sz w:val="22"/>
          <w:szCs w:val="22"/>
        </w:rPr>
      </w:pPr>
    </w:p>
    <w:p w14:paraId="79D5C539" w14:textId="7F846792" w:rsidR="00F52AD1" w:rsidRPr="00CF6B21" w:rsidRDefault="00F52AD1" w:rsidP="00F52AD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 </w:t>
      </w:r>
      <w:r w:rsidR="00841DD1" w:rsidRPr="00CF6B21">
        <w:rPr>
          <w:rFonts w:cstheme="minorHAnsi"/>
          <w:sz w:val="22"/>
          <w:szCs w:val="22"/>
        </w:rPr>
        <w:t xml:space="preserve">Show how to diagnose </w:t>
      </w:r>
      <w:r w:rsidRPr="00CF6B21">
        <w:rPr>
          <w:rFonts w:cstheme="minorHAnsi"/>
          <w:sz w:val="22"/>
          <w:szCs w:val="22"/>
        </w:rPr>
        <w:t xml:space="preserve">the often missed subclinical </w:t>
      </w:r>
      <w:r w:rsidR="00841DD1" w:rsidRPr="00CF6B21">
        <w:rPr>
          <w:rFonts w:cstheme="minorHAnsi"/>
          <w:sz w:val="22"/>
          <w:szCs w:val="22"/>
        </w:rPr>
        <w:t>or early AMD</w:t>
      </w:r>
    </w:p>
    <w:p w14:paraId="15863BFC" w14:textId="2EEED114" w:rsidR="00841DD1" w:rsidRPr="00CF6B21" w:rsidRDefault="00841DD1" w:rsidP="00F52AD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Increase ones understanding on function testing for AMD</w:t>
      </w:r>
    </w:p>
    <w:p w14:paraId="1AD7B7B9" w14:textId="60F2839A" w:rsidR="00841DD1" w:rsidRPr="00CF6B21" w:rsidRDefault="00841DD1" w:rsidP="00F52AD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Increase ones understanding on the structure changes to properly stage AMD</w:t>
      </w:r>
    </w:p>
    <w:p w14:paraId="52AF823C" w14:textId="5EABC7F8" w:rsidR="00841DD1" w:rsidRPr="00CF6B21" w:rsidRDefault="00841DD1" w:rsidP="00F52AD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Show how to treat subclinical or early AMD</w:t>
      </w:r>
    </w:p>
    <w:p w14:paraId="7F2367F5" w14:textId="208A1AFD" w:rsidR="00841DD1" w:rsidRPr="00CF6B21" w:rsidRDefault="00841DD1" w:rsidP="00F52AD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Discuss OCT Angiography utilization in AMD</w:t>
      </w:r>
    </w:p>
    <w:p w14:paraId="6D3A171A" w14:textId="7704FBAC" w:rsidR="00841DD1" w:rsidRPr="00CF6B21" w:rsidRDefault="00841DD1" w:rsidP="00F52AD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Re</w:t>
      </w:r>
      <w:r w:rsidR="00991B8A" w:rsidRPr="00CF6B21">
        <w:rPr>
          <w:rFonts w:cstheme="minorHAnsi"/>
          <w:sz w:val="22"/>
          <w:szCs w:val="22"/>
        </w:rPr>
        <w:t>view treatments for all stages of</w:t>
      </w:r>
      <w:r w:rsidRPr="00CF6B21">
        <w:rPr>
          <w:rFonts w:cstheme="minorHAnsi"/>
          <w:sz w:val="22"/>
          <w:szCs w:val="22"/>
        </w:rPr>
        <w:t xml:space="preserve"> AMD</w:t>
      </w:r>
    </w:p>
    <w:p w14:paraId="5574DF61" w14:textId="151623DA" w:rsidR="00841DD1" w:rsidRPr="00CF6B21" w:rsidRDefault="00841DD1" w:rsidP="00F52AD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Review treatments for exudative/choroidal neovascular AMD </w:t>
      </w:r>
    </w:p>
    <w:p w14:paraId="0B4EC8EC" w14:textId="687ECB1E" w:rsidR="006B576C" w:rsidRPr="00CF6B21" w:rsidRDefault="006B576C" w:rsidP="006B576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431F61" w14:textId="36345AFE" w:rsidR="006B576C" w:rsidRPr="00CF6B21" w:rsidRDefault="006B576C" w:rsidP="006B576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F6B21">
        <w:rPr>
          <w:rFonts w:asciiTheme="minorHAnsi" w:hAnsiTheme="minorHAnsi" w:cstheme="minorHAnsi"/>
          <w:b/>
          <w:bCs/>
          <w:sz w:val="22"/>
          <w:szCs w:val="22"/>
          <w:u w:val="single"/>
        </w:rPr>
        <w:t>Outline:</w:t>
      </w:r>
    </w:p>
    <w:p w14:paraId="119392E6" w14:textId="6577461D" w:rsidR="006B576C" w:rsidRPr="00CF6B21" w:rsidRDefault="006B576C" w:rsidP="006B576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BC9A818" w14:textId="2E985179" w:rsidR="006B576C" w:rsidRPr="00CF6B21" w:rsidRDefault="006B576C" w:rsidP="006B576C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AMD </w:t>
      </w:r>
      <w:r w:rsidR="00FD478D" w:rsidRPr="00CF6B21">
        <w:rPr>
          <w:rFonts w:cstheme="minorHAnsi"/>
          <w:sz w:val="22"/>
          <w:szCs w:val="22"/>
        </w:rPr>
        <w:t>d</w:t>
      </w:r>
      <w:r w:rsidRPr="00CF6B21">
        <w:rPr>
          <w:rFonts w:cstheme="minorHAnsi"/>
          <w:sz w:val="22"/>
          <w:szCs w:val="22"/>
        </w:rPr>
        <w:t>emographics</w:t>
      </w:r>
    </w:p>
    <w:p w14:paraId="76891805" w14:textId="5167D1B0" w:rsidR="006B576C" w:rsidRPr="00CF6B21" w:rsidRDefault="006B576C" w:rsidP="006B576C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Prevalence</w:t>
      </w:r>
    </w:p>
    <w:p w14:paraId="16E4232F" w14:textId="32E5E29D" w:rsidR="006B576C" w:rsidRPr="00CF6B21" w:rsidRDefault="006B576C" w:rsidP="006B576C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Disease state comparison</w:t>
      </w:r>
    </w:p>
    <w:p w14:paraId="383362E6" w14:textId="7819C595" w:rsidR="0018460A" w:rsidRPr="00CF6B21" w:rsidRDefault="0018460A" w:rsidP="0018460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Dry eye, glaucoma, DM, Thyroid</w:t>
      </w:r>
    </w:p>
    <w:p w14:paraId="1B530A04" w14:textId="28EB70DE" w:rsidR="00156CC0" w:rsidRPr="00CF6B21" w:rsidRDefault="00156CC0" w:rsidP="006B576C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Eye care professional landscape</w:t>
      </w:r>
    </w:p>
    <w:p w14:paraId="6B55ADD1" w14:textId="53E87AAF" w:rsidR="00156CC0" w:rsidRPr="00CF6B21" w:rsidRDefault="00156CC0" w:rsidP="00156CC0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58,000 eye care professionals</w:t>
      </w:r>
    </w:p>
    <w:p w14:paraId="4CB1185B" w14:textId="7F26861F" w:rsidR="00156CC0" w:rsidRPr="00CF6B21" w:rsidRDefault="00156CC0" w:rsidP="00156CC0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40,000 optometrists</w:t>
      </w:r>
    </w:p>
    <w:p w14:paraId="03F440D0" w14:textId="2AC58556" w:rsidR="00156CC0" w:rsidRPr="00CF6B21" w:rsidRDefault="00156CC0" w:rsidP="00156CC0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18,000 ophthalmologists</w:t>
      </w:r>
    </w:p>
    <w:p w14:paraId="7699107A" w14:textId="229ED7C1" w:rsidR="00156CC0" w:rsidRPr="00CF6B21" w:rsidRDefault="00156CC0" w:rsidP="00156CC0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About 10% are retinal specialists</w:t>
      </w:r>
    </w:p>
    <w:p w14:paraId="4F3928C5" w14:textId="08AE21CA" w:rsidR="006B576C" w:rsidRPr="00CF6B21" w:rsidRDefault="006B576C" w:rsidP="006B576C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AMD </w:t>
      </w:r>
      <w:r w:rsidR="00FD478D" w:rsidRPr="00CF6B21">
        <w:rPr>
          <w:rFonts w:cstheme="minorHAnsi"/>
          <w:sz w:val="22"/>
          <w:szCs w:val="22"/>
        </w:rPr>
        <w:t>h</w:t>
      </w:r>
      <w:r w:rsidRPr="00CF6B21">
        <w:rPr>
          <w:rFonts w:cstheme="minorHAnsi"/>
          <w:sz w:val="22"/>
          <w:szCs w:val="22"/>
        </w:rPr>
        <w:t>istory</w:t>
      </w:r>
    </w:p>
    <w:p w14:paraId="3EBEC7D2" w14:textId="79A2A38C" w:rsidR="006B576C" w:rsidRPr="00CF6B21" w:rsidRDefault="006B576C" w:rsidP="006B576C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Historically 2 Types</w:t>
      </w:r>
    </w:p>
    <w:p w14:paraId="23E94509" w14:textId="3D3F4174" w:rsidR="006B576C" w:rsidRPr="00CF6B21" w:rsidRDefault="006B576C" w:rsidP="006B576C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Dry versus wet</w:t>
      </w:r>
    </w:p>
    <w:p w14:paraId="3A03C23C" w14:textId="10A16F73" w:rsidR="006B576C" w:rsidRPr="00CF6B21" w:rsidRDefault="006B576C" w:rsidP="006B576C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Current thinking 2 types</w:t>
      </w:r>
    </w:p>
    <w:p w14:paraId="2D1CF963" w14:textId="21113D56" w:rsidR="006B576C" w:rsidRPr="00CF6B21" w:rsidRDefault="006B576C" w:rsidP="006B576C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Early disease state</w:t>
      </w:r>
      <w:r w:rsidR="00D342E9" w:rsidRPr="00CF6B21">
        <w:rPr>
          <w:rFonts w:cstheme="minorHAnsi"/>
          <w:sz w:val="22"/>
          <w:szCs w:val="22"/>
        </w:rPr>
        <w:t xml:space="preserve"> – preventing avoidable vision loss</w:t>
      </w:r>
    </w:p>
    <w:p w14:paraId="2B26A423" w14:textId="6C7C71E9" w:rsidR="006B576C" w:rsidRPr="00CF6B21" w:rsidRDefault="00D342E9" w:rsidP="006B576C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Intermediate-advance disease state -preventing avoidable vision loss</w:t>
      </w:r>
    </w:p>
    <w:p w14:paraId="1608C392" w14:textId="267F2EE6" w:rsidR="00D342E9" w:rsidRPr="00CF6B21" w:rsidRDefault="00D342E9" w:rsidP="0077078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AMD </w:t>
      </w:r>
      <w:r w:rsidR="00FD478D" w:rsidRPr="00CF6B21">
        <w:rPr>
          <w:rFonts w:cstheme="minorHAnsi"/>
          <w:sz w:val="22"/>
          <w:szCs w:val="22"/>
        </w:rPr>
        <w:t>c</w:t>
      </w:r>
      <w:r w:rsidRPr="00CF6B21">
        <w:rPr>
          <w:rFonts w:cstheme="minorHAnsi"/>
          <w:sz w:val="22"/>
          <w:szCs w:val="22"/>
        </w:rPr>
        <w:t xml:space="preserve">onsiderations and </w:t>
      </w:r>
      <w:r w:rsidR="00FD478D" w:rsidRPr="00CF6B21">
        <w:rPr>
          <w:rFonts w:cstheme="minorHAnsi"/>
          <w:sz w:val="22"/>
          <w:szCs w:val="22"/>
        </w:rPr>
        <w:t>p</w:t>
      </w:r>
      <w:r w:rsidRPr="00CF6B21">
        <w:rPr>
          <w:rFonts w:cstheme="minorHAnsi"/>
          <w:sz w:val="22"/>
          <w:szCs w:val="22"/>
        </w:rPr>
        <w:t>earls</w:t>
      </w:r>
    </w:p>
    <w:p w14:paraId="41A37353" w14:textId="507CBC8E" w:rsidR="00770789" w:rsidRPr="00CF6B21" w:rsidRDefault="00770789" w:rsidP="00D342E9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There is currently no cure for AMD</w:t>
      </w:r>
    </w:p>
    <w:p w14:paraId="5C5A7BBC" w14:textId="6FAECE4E" w:rsidR="00770789" w:rsidRPr="00CF6B21" w:rsidRDefault="00770789" w:rsidP="00770789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Proper detect and care many prevent significant visual acuity loss in many patients</w:t>
      </w:r>
    </w:p>
    <w:p w14:paraId="202D7B73" w14:textId="77777777" w:rsidR="006254B2" w:rsidRPr="00CF6B21" w:rsidRDefault="006254B2" w:rsidP="006254B2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</w:p>
    <w:p w14:paraId="6369D7FF" w14:textId="02959E7E" w:rsidR="00156CC0" w:rsidRPr="00CF6B21" w:rsidRDefault="00156CC0" w:rsidP="00156CC0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1288 eyes (644 adults)</w:t>
      </w:r>
    </w:p>
    <w:p w14:paraId="10D52411" w14:textId="19E41977" w:rsidR="0018460A" w:rsidRPr="00CF6B21" w:rsidRDefault="0018460A" w:rsidP="0018460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Eye care professionals are missing AMD about 25% of the time</w:t>
      </w:r>
    </w:p>
    <w:p w14:paraId="5EB1BBAD" w14:textId="4DF1B9FF" w:rsidR="0018460A" w:rsidRPr="00CF6B21" w:rsidRDefault="0018460A" w:rsidP="0018460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lastRenderedPageBreak/>
        <w:t xml:space="preserve">30% of the undiagnosed eyes had large drusen </w:t>
      </w:r>
    </w:p>
    <w:p w14:paraId="4D79568F" w14:textId="2575EF65" w:rsidR="00156CC0" w:rsidRPr="00CF6B21" w:rsidRDefault="00156CC0" w:rsidP="00156CC0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Well-known risk factor for progression to advance disease</w:t>
      </w:r>
    </w:p>
    <w:p w14:paraId="3D1C90AE" w14:textId="0FBDDA65" w:rsidR="00D342E9" w:rsidRPr="00CF6B21" w:rsidRDefault="00D342E9" w:rsidP="00D342E9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78% of AMD </w:t>
      </w:r>
      <w:r w:rsidR="00770789" w:rsidRPr="00CF6B21">
        <w:rPr>
          <w:rFonts w:cstheme="minorHAnsi"/>
          <w:sz w:val="22"/>
          <w:szCs w:val="22"/>
        </w:rPr>
        <w:t>patients seek their first treatment after having suffered irreversible vision loss in one eye</w:t>
      </w:r>
    </w:p>
    <w:p w14:paraId="32F6C4A6" w14:textId="66FDF2EC" w:rsidR="00770789" w:rsidRPr="00CF6B21" w:rsidRDefault="00770789" w:rsidP="00770789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50% have an acuity of 20/200 or worse</w:t>
      </w:r>
    </w:p>
    <w:p w14:paraId="43667A9C" w14:textId="16A3B338" w:rsidR="00D342E9" w:rsidRPr="00CF6B21" w:rsidRDefault="00770789" w:rsidP="00770789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Are anti-VEGF injections our patients’ best hope?</w:t>
      </w:r>
    </w:p>
    <w:p w14:paraId="31B8C8D0" w14:textId="77777777" w:rsidR="00770789" w:rsidRPr="00CF6B21" w:rsidRDefault="00770789" w:rsidP="00770789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Late-stage treatments, albeit are necessary, they have little impact on central acuity</w:t>
      </w:r>
    </w:p>
    <w:p w14:paraId="22C9C5DF" w14:textId="35338FAB" w:rsidR="00770789" w:rsidRPr="00CF6B21" w:rsidRDefault="00770789" w:rsidP="00770789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Impacting our ability to intervene in in early to intermediate AMD?</w:t>
      </w:r>
    </w:p>
    <w:p w14:paraId="26BAA889" w14:textId="23F584C1" w:rsidR="00770789" w:rsidRPr="00CF6B21" w:rsidRDefault="008F21D7" w:rsidP="0077078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Optometrists and eye care professional responsibility</w:t>
      </w:r>
    </w:p>
    <w:p w14:paraId="4C433771" w14:textId="375D3A60" w:rsidR="008F21D7" w:rsidRPr="00CF6B21" w:rsidRDefault="008F21D7" w:rsidP="008F21D7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Rethink our responsibility related AMD diagnosis and management</w:t>
      </w:r>
    </w:p>
    <w:p w14:paraId="0E954B45" w14:textId="09EE97ED" w:rsidR="00770789" w:rsidRPr="00CF6B21" w:rsidRDefault="0018460A" w:rsidP="008F21D7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Commit to you can and will do better in early detection and treatment</w:t>
      </w:r>
    </w:p>
    <w:p w14:paraId="09EBAF75" w14:textId="3D74192B" w:rsidR="0018460A" w:rsidRPr="00CF6B21" w:rsidRDefault="0018460A" w:rsidP="008F21D7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Implement </w:t>
      </w:r>
      <w:r w:rsidR="00832A37" w:rsidRPr="00CF6B21">
        <w:rPr>
          <w:rFonts w:cstheme="minorHAnsi"/>
          <w:sz w:val="22"/>
          <w:szCs w:val="22"/>
        </w:rPr>
        <w:t xml:space="preserve">current </w:t>
      </w:r>
      <w:r w:rsidRPr="00CF6B21">
        <w:rPr>
          <w:rFonts w:cstheme="minorHAnsi"/>
          <w:sz w:val="22"/>
          <w:szCs w:val="22"/>
        </w:rPr>
        <w:t xml:space="preserve">clinically appropriate </w:t>
      </w:r>
      <w:r w:rsidR="00832A37" w:rsidRPr="00CF6B21">
        <w:rPr>
          <w:rFonts w:cstheme="minorHAnsi"/>
          <w:sz w:val="22"/>
          <w:szCs w:val="22"/>
        </w:rPr>
        <w:t>P</w:t>
      </w:r>
      <w:r w:rsidRPr="00CF6B21">
        <w:rPr>
          <w:rFonts w:cstheme="minorHAnsi"/>
          <w:sz w:val="22"/>
          <w:szCs w:val="22"/>
        </w:rPr>
        <w:t xml:space="preserve">ractice </w:t>
      </w:r>
      <w:r w:rsidR="00832A37" w:rsidRPr="00CF6B21">
        <w:rPr>
          <w:rFonts w:cstheme="minorHAnsi"/>
          <w:sz w:val="22"/>
          <w:szCs w:val="22"/>
        </w:rPr>
        <w:t>G</w:t>
      </w:r>
      <w:r w:rsidRPr="00CF6B21">
        <w:rPr>
          <w:rFonts w:cstheme="minorHAnsi"/>
          <w:sz w:val="22"/>
          <w:szCs w:val="22"/>
        </w:rPr>
        <w:t>uidelines</w:t>
      </w:r>
    </w:p>
    <w:p w14:paraId="21470324" w14:textId="42C7DF0B" w:rsidR="0018460A" w:rsidRPr="00CF6B21" w:rsidRDefault="0018460A" w:rsidP="0018460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Those that preserve </w:t>
      </w:r>
      <w:r w:rsidR="00156CC0" w:rsidRPr="00CF6B21">
        <w:rPr>
          <w:rFonts w:cstheme="minorHAnsi"/>
          <w:sz w:val="22"/>
          <w:szCs w:val="22"/>
        </w:rPr>
        <w:t>vision, don’t</w:t>
      </w:r>
      <w:r w:rsidRPr="00CF6B21">
        <w:rPr>
          <w:rFonts w:cstheme="minorHAnsi"/>
          <w:sz w:val="22"/>
          <w:szCs w:val="22"/>
        </w:rPr>
        <w:t xml:space="preserve"> wait until vision has been lost </w:t>
      </w:r>
    </w:p>
    <w:p w14:paraId="08C4759D" w14:textId="1AEDC2AB" w:rsidR="00156CC0" w:rsidRPr="00CF6B21" w:rsidRDefault="00EA52EA" w:rsidP="00EA52E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Closely monitor and treat the early detected disease</w:t>
      </w:r>
    </w:p>
    <w:p w14:paraId="2E51D790" w14:textId="7E6AB94B" w:rsidR="00EA52EA" w:rsidRPr="00CF6B21" w:rsidRDefault="00EA52EA" w:rsidP="00EA52E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If progresses to advanced AMD, better opportunity to save vision</w:t>
      </w:r>
    </w:p>
    <w:p w14:paraId="7340DF8A" w14:textId="2E1C5CF4" w:rsidR="00FD478D" w:rsidRPr="00CF6B21" w:rsidRDefault="00FD478D" w:rsidP="00FD478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Early onset pathogenesis </w:t>
      </w:r>
    </w:p>
    <w:p w14:paraId="2A7EA11F" w14:textId="77777777" w:rsidR="007F277D" w:rsidRPr="00CF6B21" w:rsidRDefault="007F277D" w:rsidP="007F277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Drusen small or large are not makers for early stage AMD</w:t>
      </w:r>
    </w:p>
    <w:p w14:paraId="56F7E373" w14:textId="77777777" w:rsidR="007F277D" w:rsidRPr="00CF6B21" w:rsidRDefault="007F277D" w:rsidP="007F277D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Visible structural evidence of a pathological process</w:t>
      </w:r>
    </w:p>
    <w:p w14:paraId="7EDD8DA9" w14:textId="77777777" w:rsidR="007F277D" w:rsidRPr="00CF6B21" w:rsidRDefault="007F277D" w:rsidP="007F277D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Underway for quite some time </w:t>
      </w:r>
    </w:p>
    <w:p w14:paraId="1126D7FB" w14:textId="33D9892B" w:rsidR="007F277D" w:rsidRPr="00CF6B21" w:rsidRDefault="007F277D" w:rsidP="007F277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Cholesterol deposits exist beneath the surface long before drusen form </w:t>
      </w:r>
    </w:p>
    <w:p w14:paraId="3B6FF8A2" w14:textId="572E8039" w:rsidR="007F277D" w:rsidRPr="00CF6B21" w:rsidRDefault="007F277D" w:rsidP="007F277D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Cannot be seen with structure-based methods </w:t>
      </w:r>
    </w:p>
    <w:p w14:paraId="2DF9FBA0" w14:textId="3258B1C4" w:rsidR="007F277D" w:rsidRPr="00CF6B21" w:rsidRDefault="007F277D" w:rsidP="007F277D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Cholesterol produced by RPE and deposits into Bruch’s membrane</w:t>
      </w:r>
    </w:p>
    <w:p w14:paraId="0FA86F7E" w14:textId="26115D73" w:rsidR="007F277D" w:rsidRPr="00CF6B21" w:rsidRDefault="007F277D" w:rsidP="007F277D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Continue to layer</w:t>
      </w:r>
      <w:r w:rsidR="00170657" w:rsidRPr="00CF6B21">
        <w:rPr>
          <w:rFonts w:cstheme="minorHAnsi"/>
          <w:sz w:val="22"/>
          <w:szCs w:val="22"/>
        </w:rPr>
        <w:t xml:space="preserve"> in Bruch’s membrane</w:t>
      </w:r>
    </w:p>
    <w:p w14:paraId="445309DB" w14:textId="2C50145C" w:rsidR="007F277D" w:rsidRPr="00CF6B21" w:rsidRDefault="00170657" w:rsidP="007F277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As this cholesterol accumulates the process unfolds with compromise to the outer retina</w:t>
      </w:r>
    </w:p>
    <w:p w14:paraId="211E6D4D" w14:textId="48006B01" w:rsidR="00170657" w:rsidRPr="00CF6B21" w:rsidRDefault="00170657" w:rsidP="00170657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Inflammation</w:t>
      </w:r>
    </w:p>
    <w:p w14:paraId="3F2279A2" w14:textId="0CA890FA" w:rsidR="00170657" w:rsidRPr="00CF6B21" w:rsidRDefault="00170657" w:rsidP="00170657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Oxidative stress</w:t>
      </w:r>
    </w:p>
    <w:p w14:paraId="39CE8469" w14:textId="1729DE59" w:rsidR="00170657" w:rsidRPr="00CF6B21" w:rsidRDefault="00170657" w:rsidP="00170657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Disruption of oxygen and nutrients </w:t>
      </w:r>
    </w:p>
    <w:p w14:paraId="3C43B667" w14:textId="0E78EB29" w:rsidR="00170657" w:rsidRPr="00CF6B21" w:rsidRDefault="00170657" w:rsidP="00170657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Drusen formation </w:t>
      </w:r>
    </w:p>
    <w:p w14:paraId="4FE24010" w14:textId="5083CB19" w:rsidR="004D246C" w:rsidRPr="00CF6B21" w:rsidRDefault="004D246C" w:rsidP="004D246C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Impaired Vitamin A across Bruch’s membrane</w:t>
      </w:r>
    </w:p>
    <w:p w14:paraId="6B136555" w14:textId="350FB9D3" w:rsidR="004D246C" w:rsidRPr="00CF6B21" w:rsidRDefault="004D246C" w:rsidP="004D246C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Functional impairment can occur to dark adaptation</w:t>
      </w:r>
    </w:p>
    <w:p w14:paraId="44D77E8D" w14:textId="3CFF3C69" w:rsidR="00FD478D" w:rsidRPr="00CF6B21" w:rsidRDefault="00FD478D" w:rsidP="00FD478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Staging of drusen</w:t>
      </w:r>
    </w:p>
    <w:p w14:paraId="3D1E5A43" w14:textId="77777777" w:rsidR="00C826E3" w:rsidRPr="00CF6B21" w:rsidRDefault="004C2E77" w:rsidP="002254E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Sub-clinical or sub-structural – cholesterol layer</w:t>
      </w:r>
    </w:p>
    <w:p w14:paraId="05913B09" w14:textId="77777777" w:rsidR="00C826E3" w:rsidRPr="00CF6B21" w:rsidRDefault="00C826E3" w:rsidP="002254E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Small drusen &lt; 63 microns</w:t>
      </w:r>
    </w:p>
    <w:p w14:paraId="4828CB22" w14:textId="6883FB92" w:rsidR="00C826E3" w:rsidRPr="00CF6B21" w:rsidRDefault="00C826E3" w:rsidP="002254E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Medium drusen &gt; 63 – &lt;125 microns</w:t>
      </w:r>
    </w:p>
    <w:p w14:paraId="26BD4B6F" w14:textId="2A8F5D93" w:rsidR="002254ED" w:rsidRPr="00CF6B21" w:rsidRDefault="00C826E3" w:rsidP="002254E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Large drusen &gt; 125 microns</w:t>
      </w:r>
    </w:p>
    <w:p w14:paraId="70FCF0D6" w14:textId="53CB74EF" w:rsidR="0073712A" w:rsidRPr="00CF6B21" w:rsidRDefault="0073712A" w:rsidP="00FD478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Beckman Committee Classification of AMD – based on presence of lesions within 2 DD of fovea in either eye</w:t>
      </w:r>
    </w:p>
    <w:p w14:paraId="65D5AAE3" w14:textId="46FBE97A" w:rsidR="0073712A" w:rsidRPr="00CF6B21" w:rsidRDefault="0073712A" w:rsidP="0073712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No AMD</w:t>
      </w:r>
    </w:p>
    <w:p w14:paraId="4938CD3A" w14:textId="6F84EBA1" w:rsidR="0073712A" w:rsidRPr="00CF6B21" w:rsidRDefault="0073712A" w:rsidP="0073712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None or few small drusen</w:t>
      </w:r>
    </w:p>
    <w:p w14:paraId="59508323" w14:textId="4877C78B" w:rsidR="0073712A" w:rsidRPr="00CF6B21" w:rsidRDefault="0073712A" w:rsidP="0073712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No AMD pigmentary abnormalities </w:t>
      </w:r>
    </w:p>
    <w:p w14:paraId="7C127392" w14:textId="362EF0DF" w:rsidR="0073712A" w:rsidRPr="00CF6B21" w:rsidRDefault="0073712A" w:rsidP="0073712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Early AMD</w:t>
      </w:r>
    </w:p>
    <w:p w14:paraId="41DB63FE" w14:textId="6E3FBA7F" w:rsidR="0073712A" w:rsidRPr="00CF6B21" w:rsidRDefault="0073712A" w:rsidP="0073712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Medium drusen</w:t>
      </w:r>
    </w:p>
    <w:p w14:paraId="1DE27FF7" w14:textId="23E0A515" w:rsidR="0073712A" w:rsidRPr="00CF6B21" w:rsidRDefault="0073712A" w:rsidP="0073712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No AMD pigmentary changes</w:t>
      </w:r>
    </w:p>
    <w:p w14:paraId="05501D26" w14:textId="7C29ED05" w:rsidR="0073712A" w:rsidRPr="00CF6B21" w:rsidRDefault="0073712A" w:rsidP="0073712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Intermediate AMD</w:t>
      </w:r>
    </w:p>
    <w:p w14:paraId="6F76C336" w14:textId="2289D3B2" w:rsidR="0073712A" w:rsidRPr="00CF6B21" w:rsidRDefault="0073712A" w:rsidP="0073712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1 large drusen</w:t>
      </w:r>
    </w:p>
    <w:p w14:paraId="1C8B288F" w14:textId="343A3143" w:rsidR="0073712A" w:rsidRPr="00CF6B21" w:rsidRDefault="0073712A" w:rsidP="0073712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Any AMD pigmentary changes</w:t>
      </w:r>
    </w:p>
    <w:p w14:paraId="5327D23A" w14:textId="3780B633" w:rsidR="0073712A" w:rsidRPr="00CF6B21" w:rsidRDefault="0073712A" w:rsidP="0073712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Advanced AMD</w:t>
      </w:r>
    </w:p>
    <w:p w14:paraId="5FDA9AB7" w14:textId="25B366A8" w:rsidR="0073712A" w:rsidRPr="00CF6B21" w:rsidRDefault="0073712A" w:rsidP="0073712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lastRenderedPageBreak/>
        <w:t xml:space="preserve">Any geographic atrophy </w:t>
      </w:r>
    </w:p>
    <w:p w14:paraId="434B8440" w14:textId="1F5FC656" w:rsidR="0073712A" w:rsidRPr="00CF6B21" w:rsidRDefault="0073712A" w:rsidP="0073712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Choroidal neovascularization (CNV)</w:t>
      </w:r>
    </w:p>
    <w:p w14:paraId="65F88D01" w14:textId="2E9A5007" w:rsidR="00FD478D" w:rsidRPr="00CF6B21" w:rsidRDefault="00FD478D" w:rsidP="00FD478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Choroidal neovascularization (CNV)</w:t>
      </w:r>
    </w:p>
    <w:p w14:paraId="7BF48EE8" w14:textId="28E1794A" w:rsidR="00FD478D" w:rsidRPr="00CF6B21" w:rsidRDefault="00FD478D" w:rsidP="00FD478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Type I – Occult</w:t>
      </w:r>
    </w:p>
    <w:p w14:paraId="5D7BEE95" w14:textId="25D6F17D" w:rsidR="00FD478D" w:rsidRPr="00CF6B21" w:rsidRDefault="00FD478D" w:rsidP="00FD478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Type II- Classic </w:t>
      </w:r>
    </w:p>
    <w:p w14:paraId="549B8E30" w14:textId="73036073" w:rsidR="00FD478D" w:rsidRPr="00CF6B21" w:rsidRDefault="00FD478D" w:rsidP="00FD478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Type III- RAP</w:t>
      </w:r>
    </w:p>
    <w:p w14:paraId="68C1631A" w14:textId="1F4E6DFE" w:rsidR="00AB24A0" w:rsidRPr="00CF6B21" w:rsidRDefault="00FD478D" w:rsidP="00EA1C02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Type IV- Mixed</w:t>
      </w:r>
    </w:p>
    <w:p w14:paraId="6601E6B2" w14:textId="1432E78D" w:rsidR="00AB24A0" w:rsidRPr="00CF6B21" w:rsidRDefault="00AB24A0" w:rsidP="00AB24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Predictors of progressing to advanced disease</w:t>
      </w:r>
    </w:p>
    <w:p w14:paraId="5EA2DAAB" w14:textId="746BF6D3" w:rsidR="00BE7F64" w:rsidRPr="00CF6B21" w:rsidRDefault="00BE7F64" w:rsidP="00AB24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 Tool for diagnosis, management, and treatment of AMD</w:t>
      </w:r>
    </w:p>
    <w:p w14:paraId="6CE8EE8A" w14:textId="7763FEA5" w:rsidR="00BE7F64" w:rsidRPr="00CF6B21" w:rsidRDefault="00BE7F64" w:rsidP="00BE7F6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Comprehensive eye exam – structural, some functional </w:t>
      </w:r>
    </w:p>
    <w:p w14:paraId="7F77A983" w14:textId="21221679" w:rsidR="00BE7F64" w:rsidRPr="00CF6B21" w:rsidRDefault="00BE7F64" w:rsidP="00BE7F6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Fundus photography </w:t>
      </w:r>
      <w:r w:rsidR="00AA2A79" w:rsidRPr="00CF6B21">
        <w:rPr>
          <w:rFonts w:cstheme="minorHAnsi"/>
          <w:sz w:val="22"/>
          <w:szCs w:val="22"/>
        </w:rPr>
        <w:t xml:space="preserve">and FAF </w:t>
      </w:r>
      <w:r w:rsidRPr="00CF6B21">
        <w:rPr>
          <w:rFonts w:cstheme="minorHAnsi"/>
          <w:sz w:val="22"/>
          <w:szCs w:val="22"/>
        </w:rPr>
        <w:t>- structural</w:t>
      </w:r>
    </w:p>
    <w:p w14:paraId="2E5D5B0E" w14:textId="522CF641" w:rsidR="00BE7F64" w:rsidRPr="00CF6B21" w:rsidRDefault="00BE7F64" w:rsidP="00BE7F6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OCT and OCT Angiography – structural </w:t>
      </w:r>
    </w:p>
    <w:p w14:paraId="21EFEE43" w14:textId="11113E74" w:rsidR="00BE7F64" w:rsidRPr="00CF6B21" w:rsidRDefault="00BE7F64" w:rsidP="00BE7F6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Dark adaptation – functional </w:t>
      </w:r>
    </w:p>
    <w:p w14:paraId="20AD435F" w14:textId="1BEB124E" w:rsidR="00AB24A0" w:rsidRPr="00CF6B21" w:rsidRDefault="00AB24A0" w:rsidP="00AB24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Dark Adaptation</w:t>
      </w:r>
      <w:r w:rsidR="007E132B" w:rsidRPr="00CF6B21">
        <w:rPr>
          <w:rFonts w:cstheme="minorHAnsi"/>
          <w:sz w:val="22"/>
          <w:szCs w:val="22"/>
        </w:rPr>
        <w:t xml:space="preserve"> – Function test </w:t>
      </w:r>
    </w:p>
    <w:p w14:paraId="5FFB4BCC" w14:textId="78B25C07" w:rsidR="004D246C" w:rsidRPr="00CF6B21" w:rsidRDefault="004D246C" w:rsidP="00156CC0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Measures how long to recover from bright light to darkness</w:t>
      </w:r>
    </w:p>
    <w:p w14:paraId="6D817346" w14:textId="05674BD8" w:rsidR="00715018" w:rsidRPr="00CF6B21" w:rsidRDefault="00715018" w:rsidP="0071501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Rod intercept line (RI) time </w:t>
      </w:r>
    </w:p>
    <w:p w14:paraId="04C6EF2F" w14:textId="3D6B7F31" w:rsidR="00156CC0" w:rsidRPr="00CF6B21" w:rsidRDefault="00156CC0" w:rsidP="00156CC0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Functional test that can help overcome the challenges in diagnosing AMD </w:t>
      </w:r>
    </w:p>
    <w:p w14:paraId="2DC8F374" w14:textId="53063938" w:rsidR="006254B2" w:rsidRPr="00CF6B21" w:rsidRDefault="006254B2" w:rsidP="006254B2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Alabama Study on Early Are-Related Degeneration (ALSTAR)</w:t>
      </w:r>
    </w:p>
    <w:p w14:paraId="5431B27B" w14:textId="672B0CED" w:rsidR="00156CC0" w:rsidRPr="00CF6B21" w:rsidRDefault="006254B2" w:rsidP="006254B2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Able to</w:t>
      </w:r>
      <w:r w:rsidR="00156CC0" w:rsidRPr="00CF6B21">
        <w:rPr>
          <w:rFonts w:cstheme="minorHAnsi"/>
          <w:sz w:val="22"/>
          <w:szCs w:val="22"/>
        </w:rPr>
        <w:t xml:space="preserve"> detect subclinical 3 years before clinically visible </w:t>
      </w:r>
    </w:p>
    <w:p w14:paraId="799BD189" w14:textId="7563A0AA" w:rsidR="006254B2" w:rsidRPr="00CF6B21" w:rsidRDefault="006254B2" w:rsidP="006254B2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325 adults without clinically detectable AMD </w:t>
      </w:r>
    </w:p>
    <w:p w14:paraId="4E3DDC8E" w14:textId="6960E338" w:rsidR="00BE7F64" w:rsidRPr="00CF6B21" w:rsidRDefault="00BE7F64" w:rsidP="00156CC0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Rod deterioration happens in earliest stages of AMD</w:t>
      </w:r>
    </w:p>
    <w:p w14:paraId="44F9BD93" w14:textId="3758A660" w:rsidR="00BE7F64" w:rsidRPr="00CF6B21" w:rsidRDefault="00BE7F64" w:rsidP="00BE7F64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Earlier defection before visual acuity </w:t>
      </w:r>
    </w:p>
    <w:p w14:paraId="5EF378BB" w14:textId="27431A12" w:rsidR="004D246C" w:rsidRPr="00CF6B21" w:rsidRDefault="00991B8A" w:rsidP="00991B8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Rod intercept </w:t>
      </w:r>
    </w:p>
    <w:p w14:paraId="45CDA3FE" w14:textId="266D14FD" w:rsidR="00715018" w:rsidRPr="00CF6B21" w:rsidRDefault="00715018" w:rsidP="0071501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Sensitivity 90.6%</w:t>
      </w:r>
    </w:p>
    <w:p w14:paraId="44938F54" w14:textId="42C0C780" w:rsidR="00715018" w:rsidRPr="00CF6B21" w:rsidRDefault="00715018" w:rsidP="00715018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Specificity 90.5%</w:t>
      </w:r>
    </w:p>
    <w:p w14:paraId="654122B8" w14:textId="279B0015" w:rsidR="00AB24A0" w:rsidRPr="00CF6B21" w:rsidRDefault="00AB24A0" w:rsidP="00AB24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OCT in AMD</w:t>
      </w:r>
      <w:r w:rsidR="007E132B" w:rsidRPr="00CF6B21">
        <w:rPr>
          <w:rFonts w:cstheme="minorHAnsi"/>
          <w:sz w:val="22"/>
          <w:szCs w:val="22"/>
        </w:rPr>
        <w:t xml:space="preserve"> – Structure test </w:t>
      </w:r>
    </w:p>
    <w:p w14:paraId="531D68FB" w14:textId="4E1EE7AE" w:rsidR="00EA1C02" w:rsidRPr="00CF6B21" w:rsidRDefault="00EA1C02" w:rsidP="00EA1C02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Need spectral domain to follow intermediate or worse AMD</w:t>
      </w:r>
      <w:r w:rsidR="008D4CE5" w:rsidRPr="00CF6B21">
        <w:rPr>
          <w:rFonts w:cstheme="minorHAnsi"/>
          <w:sz w:val="22"/>
          <w:szCs w:val="22"/>
        </w:rPr>
        <w:t>, especially in identifying OCT predictors of progression</w:t>
      </w:r>
    </w:p>
    <w:p w14:paraId="12AACB9E" w14:textId="12304282" w:rsidR="008D4CE5" w:rsidRPr="00CF6B21" w:rsidRDefault="008D4CE5" w:rsidP="008D4CE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Hyper-reflective foci</w:t>
      </w:r>
    </w:p>
    <w:p w14:paraId="607422EE" w14:textId="4589686A" w:rsidR="008D4CE5" w:rsidRPr="00CF6B21" w:rsidRDefault="008D4CE5" w:rsidP="008D4CE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Reticular pseudodrusen</w:t>
      </w:r>
    </w:p>
    <w:p w14:paraId="18E4D850" w14:textId="4787B233" w:rsidR="008D4CE5" w:rsidRPr="00CF6B21" w:rsidRDefault="008D4CE5" w:rsidP="008D4CE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Nascent geographic atrophy</w:t>
      </w:r>
    </w:p>
    <w:p w14:paraId="3BCC2D16" w14:textId="3E60E94D" w:rsidR="008D4CE5" w:rsidRPr="00CF6B21" w:rsidRDefault="008D4CE5" w:rsidP="008D4CE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Sub-RPE hyper-reflective columns </w:t>
      </w:r>
    </w:p>
    <w:p w14:paraId="26E3139A" w14:textId="661AC30B" w:rsidR="008D4CE5" w:rsidRPr="00CF6B21" w:rsidRDefault="008D4CE5" w:rsidP="008D4CE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Drusen substructures </w:t>
      </w:r>
    </w:p>
    <w:p w14:paraId="318B8F54" w14:textId="19F34F3D" w:rsidR="00741A5A" w:rsidRPr="00CF6B21" w:rsidRDefault="008D4CE5" w:rsidP="008D4CE5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Drusen load and regression </w:t>
      </w:r>
    </w:p>
    <w:p w14:paraId="7CF42241" w14:textId="27049CB3" w:rsidR="00AB24A0" w:rsidRPr="00CF6B21" w:rsidRDefault="00AB24A0" w:rsidP="00AB24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OCT Angiography in AMD</w:t>
      </w:r>
    </w:p>
    <w:p w14:paraId="76FC4C6D" w14:textId="0D695DA3" w:rsidR="00741A5A" w:rsidRPr="00CF6B21" w:rsidRDefault="008D4CE5" w:rsidP="00741A5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Able to identify OCT predictors of progression and identify occult or classic CNV before they leak </w:t>
      </w:r>
    </w:p>
    <w:p w14:paraId="1E39EFE9" w14:textId="5D213ECA" w:rsidR="008D4CE5" w:rsidRPr="00CF6B21" w:rsidRDefault="008D4CE5" w:rsidP="00741A5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Non-invasive technique </w:t>
      </w:r>
    </w:p>
    <w:p w14:paraId="5F72A765" w14:textId="21E9E427" w:rsidR="008D4CE5" w:rsidRPr="00CF6B21" w:rsidRDefault="008A44B9" w:rsidP="00741A5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Subclinical CNV or </w:t>
      </w:r>
      <w:r w:rsidR="008D4CE5" w:rsidRPr="00CF6B21">
        <w:rPr>
          <w:rFonts w:cstheme="minorHAnsi"/>
          <w:sz w:val="22"/>
          <w:szCs w:val="22"/>
        </w:rPr>
        <w:t xml:space="preserve">“Occult non-exudative CNV” </w:t>
      </w:r>
    </w:p>
    <w:p w14:paraId="43A6139C" w14:textId="65CEDA20" w:rsidR="008A44B9" w:rsidRPr="00CF6B21" w:rsidRDefault="008A44B9" w:rsidP="008A44B9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Risk of exudation at 12 months is 15.2 times greater compared to eyes without subclinical CNV </w:t>
      </w:r>
    </w:p>
    <w:p w14:paraId="52F76FD4" w14:textId="41E14FE5" w:rsidR="002E17D7" w:rsidRPr="00CF6B21" w:rsidRDefault="002E17D7" w:rsidP="00AB24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Treatments for AMD</w:t>
      </w:r>
    </w:p>
    <w:p w14:paraId="21617828" w14:textId="21D41F73" w:rsidR="00AB24A0" w:rsidRPr="00CF6B21" w:rsidRDefault="00EA52EA" w:rsidP="002E17D7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Early defection meaningful treatments with significant value, not a cure, have been shown to slow or halt progression</w:t>
      </w:r>
      <w:r w:rsidR="00832A37" w:rsidRPr="00CF6B21">
        <w:rPr>
          <w:rFonts w:cstheme="minorHAnsi"/>
          <w:sz w:val="22"/>
          <w:szCs w:val="22"/>
        </w:rPr>
        <w:t xml:space="preserve">.  Not limited to early stages but all stages of AMD </w:t>
      </w:r>
    </w:p>
    <w:p w14:paraId="323035AA" w14:textId="0A178BFD" w:rsidR="00832A37" w:rsidRPr="00CF6B21" w:rsidRDefault="00832A37" w:rsidP="00EA52E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Prescribe smoking cessation programs</w:t>
      </w:r>
    </w:p>
    <w:p w14:paraId="44622C45" w14:textId="0B78796F" w:rsidR="006254B2" w:rsidRPr="00CF6B21" w:rsidRDefault="00EA1C02" w:rsidP="006254B2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Smoking and AMD</w:t>
      </w:r>
    </w:p>
    <w:p w14:paraId="4028A7FD" w14:textId="6B38DE17" w:rsidR="00EA1C02" w:rsidRPr="00CF6B21" w:rsidRDefault="00EA1C02" w:rsidP="00EA1C02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Depletes serum antioxidants</w:t>
      </w:r>
    </w:p>
    <w:p w14:paraId="7FAD1781" w14:textId="28DD2997" w:rsidR="00EA1C02" w:rsidRPr="00CF6B21" w:rsidRDefault="00EA1C02" w:rsidP="00EA1C02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Decreases pigmentary density </w:t>
      </w:r>
    </w:p>
    <w:p w14:paraId="47915009" w14:textId="1E1247DF" w:rsidR="00EA1C02" w:rsidRPr="00CF6B21" w:rsidRDefault="00EA1C02" w:rsidP="00EA1C02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lastRenderedPageBreak/>
        <w:t>Increases risk to advanced AMD</w:t>
      </w:r>
    </w:p>
    <w:p w14:paraId="1C92B3F3" w14:textId="77777777" w:rsidR="00832A37" w:rsidRPr="00CF6B21" w:rsidRDefault="00EA52EA" w:rsidP="00832A37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Lifestyle changes</w:t>
      </w:r>
    </w:p>
    <w:p w14:paraId="1CA1A417" w14:textId="56301383" w:rsidR="00EA52EA" w:rsidRPr="00CF6B21" w:rsidRDefault="00EA52EA" w:rsidP="00832A37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Diet</w:t>
      </w:r>
      <w:r w:rsidR="008D4CE5" w:rsidRPr="00CF6B21">
        <w:rPr>
          <w:rFonts w:cstheme="minorHAnsi"/>
          <w:sz w:val="22"/>
          <w:szCs w:val="22"/>
        </w:rPr>
        <w:t xml:space="preserve"> </w:t>
      </w:r>
    </w:p>
    <w:p w14:paraId="651307FB" w14:textId="03CA7E29" w:rsidR="00EA52EA" w:rsidRPr="00CF6B21" w:rsidRDefault="00EA52EA" w:rsidP="00832A37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Exercise</w:t>
      </w:r>
    </w:p>
    <w:p w14:paraId="0A56A8B7" w14:textId="430E3B9B" w:rsidR="00EA52EA" w:rsidRPr="00CF6B21" w:rsidRDefault="00EA52EA" w:rsidP="00EA52E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Systemic disease management </w:t>
      </w:r>
    </w:p>
    <w:p w14:paraId="14118A58" w14:textId="01463193" w:rsidR="00832A37" w:rsidRPr="00CF6B21" w:rsidRDefault="00832A37" w:rsidP="00832A37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Cardiovascular disease, DM, obesity, high cholesterol</w:t>
      </w:r>
    </w:p>
    <w:p w14:paraId="7CE3D50D" w14:textId="47039925" w:rsidR="002E17D7" w:rsidRPr="00CF6B21" w:rsidRDefault="002E17D7" w:rsidP="00EA52E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Nutritional supplements</w:t>
      </w:r>
    </w:p>
    <w:p w14:paraId="701706A4" w14:textId="19877AB0" w:rsidR="002254ED" w:rsidRPr="00CF6B21" w:rsidRDefault="002254ED" w:rsidP="002254ED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Sub-clinical</w:t>
      </w:r>
      <w:r w:rsidR="004C2E77" w:rsidRPr="00CF6B21">
        <w:rPr>
          <w:rFonts w:cstheme="minorHAnsi"/>
          <w:sz w:val="22"/>
          <w:szCs w:val="22"/>
        </w:rPr>
        <w:t>/sub-structural</w:t>
      </w:r>
      <w:r w:rsidRPr="00CF6B21">
        <w:rPr>
          <w:rFonts w:cstheme="minorHAnsi"/>
          <w:sz w:val="22"/>
          <w:szCs w:val="22"/>
        </w:rPr>
        <w:t xml:space="preserve"> or early disease</w:t>
      </w:r>
    </w:p>
    <w:p w14:paraId="02A117B4" w14:textId="4FECC8C6" w:rsidR="002254ED" w:rsidRPr="00CF6B21" w:rsidRDefault="002254ED" w:rsidP="002254ED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Controversy flourishes</w:t>
      </w:r>
    </w:p>
    <w:p w14:paraId="49DF3C4E" w14:textId="1F54D8B8" w:rsidR="002254ED" w:rsidRPr="00CF6B21" w:rsidRDefault="002254ED" w:rsidP="002254ED">
      <w:pPr>
        <w:pStyle w:val="ListParagraph"/>
        <w:numPr>
          <w:ilvl w:val="5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No </w:t>
      </w:r>
      <w:r w:rsidR="002643B0" w:rsidRPr="00CF6B21">
        <w:rPr>
          <w:rFonts w:cstheme="minorHAnsi"/>
          <w:sz w:val="22"/>
          <w:szCs w:val="22"/>
        </w:rPr>
        <w:t xml:space="preserve">definitive guideline </w:t>
      </w:r>
      <w:r w:rsidR="004C2E77" w:rsidRPr="00CF6B21">
        <w:rPr>
          <w:rFonts w:cstheme="minorHAnsi"/>
          <w:sz w:val="22"/>
          <w:szCs w:val="22"/>
        </w:rPr>
        <w:t>exists</w:t>
      </w:r>
    </w:p>
    <w:p w14:paraId="3F758F2A" w14:textId="6D3E1FF8" w:rsidR="004C2E77" w:rsidRPr="00CF6B21" w:rsidRDefault="004C2E77" w:rsidP="004C2E77">
      <w:pPr>
        <w:pStyle w:val="ListParagraph"/>
        <w:numPr>
          <w:ilvl w:val="5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Despite consensus evidence suggests using supplements</w:t>
      </w:r>
    </w:p>
    <w:p w14:paraId="1AB973E3" w14:textId="5D60B775" w:rsidR="002254ED" w:rsidRPr="00CF6B21" w:rsidRDefault="002254ED" w:rsidP="002254ED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Intermediate – advance disease</w:t>
      </w:r>
    </w:p>
    <w:p w14:paraId="67E3A47C" w14:textId="035D5D1E" w:rsidR="002254ED" w:rsidRPr="00CF6B21" w:rsidRDefault="002254ED" w:rsidP="002254ED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No controversy on advocating for supplements  </w:t>
      </w:r>
    </w:p>
    <w:p w14:paraId="375B955A" w14:textId="17C28207" w:rsidR="00AA1D20" w:rsidRPr="00CF6B21" w:rsidRDefault="00AA1D20" w:rsidP="004C2E77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AREDS 1</w:t>
      </w:r>
    </w:p>
    <w:p w14:paraId="1C030423" w14:textId="0878066C" w:rsidR="00AA1D20" w:rsidRPr="00CF6B21" w:rsidRDefault="00AA1D20" w:rsidP="00AA1D20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Contains Beta-carotene and no lutein or zeaxanthin, no longer recommended</w:t>
      </w:r>
    </w:p>
    <w:p w14:paraId="7F9B15CD" w14:textId="1A1545C0" w:rsidR="00AA1D20" w:rsidRPr="00CF6B21" w:rsidRDefault="00AA1D20" w:rsidP="00AA1D20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Investigated early AMD, no statistically significant benefit </w:t>
      </w:r>
    </w:p>
    <w:p w14:paraId="2FC9EA4B" w14:textId="023D299E" w:rsidR="004C2E77" w:rsidRPr="00CF6B21" w:rsidRDefault="00AA1D20" w:rsidP="004C2E77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AREDS 2</w:t>
      </w:r>
    </w:p>
    <w:p w14:paraId="7F723323" w14:textId="3D21A02E" w:rsidR="00AA1D20" w:rsidRPr="00CF6B21" w:rsidRDefault="00AA1D20" w:rsidP="00AA1D20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Recommended for intermediate and advanced AMD, study protocol </w:t>
      </w:r>
    </w:p>
    <w:p w14:paraId="4E0ADED9" w14:textId="525FF652" w:rsidR="00AA1D20" w:rsidRPr="00CF6B21" w:rsidRDefault="00AA1D20" w:rsidP="00AA1D20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The Practical Guide for the Treatment of AMD </w:t>
      </w:r>
      <w:r w:rsidR="00F308A4" w:rsidRPr="00CF6B21">
        <w:rPr>
          <w:rFonts w:cstheme="minorHAnsi"/>
          <w:sz w:val="22"/>
          <w:szCs w:val="22"/>
        </w:rPr>
        <w:t xml:space="preserve">- </w:t>
      </w:r>
      <w:r w:rsidRPr="00CF6B21">
        <w:rPr>
          <w:rFonts w:cstheme="minorHAnsi"/>
          <w:sz w:val="22"/>
          <w:szCs w:val="22"/>
        </w:rPr>
        <w:t>3 primary options</w:t>
      </w:r>
      <w:r w:rsidR="00F308A4" w:rsidRPr="00CF6B21">
        <w:rPr>
          <w:rFonts w:cstheme="minorHAnsi"/>
          <w:sz w:val="22"/>
          <w:szCs w:val="22"/>
        </w:rPr>
        <w:t xml:space="preserve"> </w:t>
      </w:r>
    </w:p>
    <w:p w14:paraId="3B0F7E1B" w14:textId="77777777" w:rsidR="00F308A4" w:rsidRPr="00CF6B21" w:rsidRDefault="00AA1D20" w:rsidP="00AA1D20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Macular pigment </w:t>
      </w:r>
      <w:r w:rsidR="00F308A4" w:rsidRPr="00CF6B21">
        <w:rPr>
          <w:rFonts w:cstheme="minorHAnsi"/>
          <w:sz w:val="22"/>
          <w:szCs w:val="22"/>
        </w:rPr>
        <w:t>supplement</w:t>
      </w:r>
    </w:p>
    <w:p w14:paraId="42855BD6" w14:textId="5E6A9CD5" w:rsidR="00AA1D20" w:rsidRPr="00CF6B21" w:rsidRDefault="00F308A4" w:rsidP="00F308A4">
      <w:pPr>
        <w:pStyle w:val="ListParagraph"/>
        <w:numPr>
          <w:ilvl w:val="5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Carotenoids: lutein, zeaxanthin, meso-zeaxanthin</w:t>
      </w:r>
    </w:p>
    <w:p w14:paraId="5B5CAB73" w14:textId="509FC6F6" w:rsidR="00F308A4" w:rsidRPr="00CF6B21" w:rsidRDefault="00F308A4" w:rsidP="00AA1D20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Carotenoids, antioxidants, zinc, and vitamins C&amp;E</w:t>
      </w:r>
    </w:p>
    <w:p w14:paraId="33DFE069" w14:textId="0A381AB5" w:rsidR="00F308A4" w:rsidRPr="00CF6B21" w:rsidRDefault="00F308A4" w:rsidP="00F308A4">
      <w:pPr>
        <w:pStyle w:val="ListParagraph"/>
        <w:numPr>
          <w:ilvl w:val="5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AREDS 2</w:t>
      </w:r>
    </w:p>
    <w:p w14:paraId="3B2551E0" w14:textId="0330849E" w:rsidR="00F308A4" w:rsidRPr="00CF6B21" w:rsidRDefault="00F308A4" w:rsidP="00AA1D20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Carotenoid macular supplement in subclinical and early AMD. Carotenoid and antioxidant is intermediate and AMD that is progressing </w:t>
      </w:r>
    </w:p>
    <w:p w14:paraId="756D4E81" w14:textId="60718A43" w:rsidR="00EA52EA" w:rsidRPr="00CF6B21" w:rsidRDefault="00EA52EA" w:rsidP="00EA52E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Retinal light </w:t>
      </w:r>
      <w:r w:rsidR="00832A37" w:rsidRPr="00CF6B21">
        <w:rPr>
          <w:rFonts w:cstheme="minorHAnsi"/>
          <w:sz w:val="22"/>
          <w:szCs w:val="22"/>
        </w:rPr>
        <w:t>protection</w:t>
      </w:r>
    </w:p>
    <w:p w14:paraId="7ED20940" w14:textId="541E450D" w:rsidR="00832A37" w:rsidRPr="00CF6B21" w:rsidRDefault="00832A37" w:rsidP="00832A37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Sun exposure </w:t>
      </w:r>
    </w:p>
    <w:p w14:paraId="7F5B0606" w14:textId="7CE88D1F" w:rsidR="00EA52EA" w:rsidRPr="00CF6B21" w:rsidRDefault="00EA52EA" w:rsidP="00EA52EA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Closer follow up</w:t>
      </w:r>
    </w:p>
    <w:p w14:paraId="007ACB5D" w14:textId="18073AD3" w:rsidR="00832A37" w:rsidRPr="00CF6B21" w:rsidRDefault="00832A37" w:rsidP="00832A37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12 months is currently </w:t>
      </w:r>
      <w:r w:rsidR="00BE7F64" w:rsidRPr="00CF6B21">
        <w:rPr>
          <w:rFonts w:cstheme="minorHAnsi"/>
          <w:sz w:val="22"/>
          <w:szCs w:val="22"/>
        </w:rPr>
        <w:t>accepted as being too long to defect progression</w:t>
      </w:r>
    </w:p>
    <w:p w14:paraId="68687908" w14:textId="31F9B1B8" w:rsidR="00BE7F64" w:rsidRPr="00CF6B21" w:rsidRDefault="00BE7F64" w:rsidP="00832A37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6 months or sooner based on risk of CNV </w:t>
      </w:r>
    </w:p>
    <w:p w14:paraId="4F2E9A75" w14:textId="31F9B1B8" w:rsidR="002E17D7" w:rsidRPr="00CF6B21" w:rsidRDefault="002E17D7" w:rsidP="002E17D7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Treatments for choroidal neovascularization (CNV)</w:t>
      </w:r>
    </w:p>
    <w:p w14:paraId="57B6052C" w14:textId="77777777" w:rsidR="00C77CCD" w:rsidRPr="00CF6B21" w:rsidRDefault="002E17D7" w:rsidP="00C77CCD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Current Anti-VEGF treatments</w:t>
      </w:r>
    </w:p>
    <w:p w14:paraId="11A8053A" w14:textId="64CBE538" w:rsidR="00C77CCD" w:rsidRPr="00CF6B21" w:rsidRDefault="00C77CCD" w:rsidP="00C77CCD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eastAsia="Times New Roman" w:cstheme="minorHAnsi"/>
          <w:color w:val="111111"/>
          <w:sz w:val="22"/>
          <w:szCs w:val="22"/>
        </w:rPr>
        <w:t>Bevacizumab (Avastin)</w:t>
      </w:r>
    </w:p>
    <w:p w14:paraId="7D25776C" w14:textId="115B2D5C" w:rsidR="00074227" w:rsidRPr="00CF6B21" w:rsidRDefault="00074227" w:rsidP="00074227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eastAsia="Times New Roman" w:cstheme="minorHAnsi"/>
          <w:color w:val="111111"/>
          <w:sz w:val="22"/>
          <w:szCs w:val="22"/>
        </w:rPr>
        <w:t>Humanized full length monoclonal antibody</w:t>
      </w:r>
    </w:p>
    <w:p w14:paraId="71E7E75A" w14:textId="43D9F835" w:rsidR="00074227" w:rsidRPr="00CF6B21" w:rsidRDefault="00074227" w:rsidP="00074227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eastAsia="Times New Roman" w:cstheme="minorHAnsi"/>
          <w:color w:val="111111"/>
          <w:sz w:val="22"/>
          <w:szCs w:val="22"/>
        </w:rPr>
        <w:t>AMD</w:t>
      </w:r>
    </w:p>
    <w:p w14:paraId="1F4BCFA7" w14:textId="483F04E5" w:rsidR="00C77CCD" w:rsidRPr="00CF6B21" w:rsidRDefault="00C77CCD" w:rsidP="00C77CCD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eastAsia="Times New Roman" w:cstheme="minorHAnsi"/>
          <w:color w:val="111111"/>
          <w:sz w:val="22"/>
          <w:szCs w:val="22"/>
        </w:rPr>
        <w:t>Ranibizumab (Lucentis)</w:t>
      </w:r>
    </w:p>
    <w:p w14:paraId="5E29D147" w14:textId="36F313E8" w:rsidR="00554249" w:rsidRPr="00CF6B21" w:rsidRDefault="00554249" w:rsidP="00554249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eastAsia="Times New Roman" w:cstheme="minorHAnsi"/>
          <w:color w:val="111111"/>
          <w:sz w:val="22"/>
          <w:szCs w:val="22"/>
        </w:rPr>
        <w:t xml:space="preserve">Humanized monoclonal antibody fragment </w:t>
      </w:r>
    </w:p>
    <w:p w14:paraId="377189FB" w14:textId="08CABD46" w:rsidR="00554249" w:rsidRPr="00CF6B21" w:rsidRDefault="00554249" w:rsidP="00554249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AMD, DME, DR, </w:t>
      </w:r>
      <w:r w:rsidR="00074227" w:rsidRPr="00CF6B21">
        <w:rPr>
          <w:rFonts w:cstheme="minorHAnsi"/>
          <w:sz w:val="22"/>
          <w:szCs w:val="22"/>
        </w:rPr>
        <w:t>RVO</w:t>
      </w:r>
    </w:p>
    <w:p w14:paraId="4797DADB" w14:textId="1C13E857" w:rsidR="00C77CCD" w:rsidRPr="00CF6B21" w:rsidRDefault="00C77CCD" w:rsidP="00C77CCD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eastAsia="Times New Roman" w:cstheme="minorHAnsi"/>
          <w:color w:val="111111"/>
          <w:sz w:val="22"/>
          <w:szCs w:val="22"/>
        </w:rPr>
        <w:t>Aflibercept (Eylea)</w:t>
      </w:r>
    </w:p>
    <w:p w14:paraId="42C51857" w14:textId="41A0D631" w:rsidR="00074227" w:rsidRPr="00CF6B21" w:rsidRDefault="00074227" w:rsidP="00074227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eastAsia="Times New Roman" w:cstheme="minorHAnsi"/>
          <w:color w:val="111111"/>
          <w:sz w:val="22"/>
          <w:szCs w:val="22"/>
        </w:rPr>
        <w:t xml:space="preserve">Fusion protein </w:t>
      </w:r>
      <w:r w:rsidRPr="00CF6B21">
        <w:rPr>
          <w:rFonts w:eastAsia="Times New Roman" w:cstheme="minorHAnsi"/>
          <w:color w:val="111111"/>
          <w:sz w:val="22"/>
          <w:szCs w:val="22"/>
        </w:rPr>
        <w:tab/>
      </w:r>
    </w:p>
    <w:p w14:paraId="4022A431" w14:textId="754B334C" w:rsidR="00074227" w:rsidRPr="00CF6B21" w:rsidRDefault="00074227" w:rsidP="00074227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eastAsia="Times New Roman" w:cstheme="minorHAnsi"/>
          <w:color w:val="111111"/>
          <w:sz w:val="22"/>
          <w:szCs w:val="22"/>
        </w:rPr>
        <w:t>AMD, DME, DR</w:t>
      </w:r>
    </w:p>
    <w:p w14:paraId="42740D67" w14:textId="77777777" w:rsidR="00074227" w:rsidRPr="00CF6B21" w:rsidRDefault="00C77CCD" w:rsidP="00074227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proofErr w:type="spellStart"/>
      <w:r w:rsidRPr="00CF6B2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brolucizumab-dbll</w:t>
      </w:r>
      <w:proofErr w:type="spellEnd"/>
      <w:r w:rsidRPr="00CF6B2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(Beovu)</w:t>
      </w:r>
    </w:p>
    <w:p w14:paraId="61BA003C" w14:textId="2A876E23" w:rsidR="00074227" w:rsidRPr="00CF6B21" w:rsidRDefault="00074227" w:rsidP="00074227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Style w:val="Emphasis"/>
          <w:rFonts w:cstheme="minorHAnsi"/>
          <w:i w:val="0"/>
          <w:iCs w:val="0"/>
          <w:color w:val="6A6A6A"/>
          <w:sz w:val="22"/>
          <w:szCs w:val="22"/>
          <w:shd w:val="clear" w:color="auto" w:fill="FFFFFF"/>
        </w:rPr>
        <w:t>Humanized</w:t>
      </w:r>
      <w:r w:rsidRPr="00CF6B21">
        <w:rPr>
          <w:rFonts w:cstheme="minorHAnsi"/>
          <w:color w:val="545454"/>
          <w:sz w:val="22"/>
          <w:szCs w:val="22"/>
          <w:shd w:val="clear" w:color="auto" w:fill="FFFFFF"/>
        </w:rPr>
        <w:t> single-chain antibody fragment </w:t>
      </w:r>
    </w:p>
    <w:p w14:paraId="164039CF" w14:textId="29804080" w:rsidR="00554249" w:rsidRPr="00CF6B21" w:rsidRDefault="00554249" w:rsidP="00074227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Up to 3 months dosing intervals, most are 4-6</w:t>
      </w:r>
      <w:r w:rsidR="00074227" w:rsidRPr="00CF6B2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CF6B21">
        <w:rPr>
          <w:rFonts w:cstheme="minorHAnsi"/>
          <w:color w:val="000000"/>
          <w:sz w:val="22"/>
          <w:szCs w:val="22"/>
          <w:shd w:val="clear" w:color="auto" w:fill="FFFFFF"/>
        </w:rPr>
        <w:t>weeks</w:t>
      </w:r>
    </w:p>
    <w:p w14:paraId="38373E60" w14:textId="65F6E978" w:rsidR="00074227" w:rsidRPr="00CF6B21" w:rsidRDefault="00074227" w:rsidP="00074227">
      <w:pPr>
        <w:pStyle w:val="ListParagraph"/>
        <w:numPr>
          <w:ilvl w:val="5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lastRenderedPageBreak/>
        <w:t xml:space="preserve">50% remained 3 months after 1 year </w:t>
      </w:r>
    </w:p>
    <w:p w14:paraId="19D8CB30" w14:textId="037EE1FA" w:rsidR="00554249" w:rsidRPr="00CF6B21" w:rsidRDefault="00554249" w:rsidP="00554249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CF6B2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Pegaptanib (</w:t>
      </w:r>
      <w:proofErr w:type="spellStart"/>
      <w:r w:rsidRPr="00CF6B2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Macugen</w:t>
      </w:r>
      <w:proofErr w:type="spellEnd"/>
      <w:r w:rsidRPr="00CF6B2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)</w:t>
      </w:r>
    </w:p>
    <w:p w14:paraId="1B136E82" w14:textId="0ED49CDA" w:rsidR="00554249" w:rsidRPr="00CF6B21" w:rsidRDefault="00074227" w:rsidP="00074227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RNA aptamer</w:t>
      </w:r>
    </w:p>
    <w:p w14:paraId="6FB29E41" w14:textId="667B3EDE" w:rsidR="00C77CCD" w:rsidRPr="00CF6B21" w:rsidRDefault="00074227" w:rsidP="00554249">
      <w:pPr>
        <w:pStyle w:val="ListParagraph"/>
        <w:numPr>
          <w:ilvl w:val="4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AMD</w:t>
      </w:r>
    </w:p>
    <w:p w14:paraId="4966EAD9" w14:textId="6BF4156E" w:rsidR="002E17D7" w:rsidRPr="00CF6B21" w:rsidRDefault="002E17D7" w:rsidP="002E17D7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Low vision consultation</w:t>
      </w:r>
    </w:p>
    <w:p w14:paraId="46AB1958" w14:textId="0EA94B6E" w:rsidR="00AB24A0" w:rsidRPr="00CF6B21" w:rsidRDefault="002E17D7" w:rsidP="002E17D7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Investigation treatments in AMD</w:t>
      </w:r>
    </w:p>
    <w:p w14:paraId="4171E887" w14:textId="5208C383" w:rsidR="002E17D7" w:rsidRPr="00CF6B21" w:rsidRDefault="008F21D7" w:rsidP="00AB24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 Home monitoring devices for AMD</w:t>
      </w:r>
    </w:p>
    <w:p w14:paraId="4807546F" w14:textId="4C679901" w:rsidR="00AB24A0" w:rsidRPr="00CF6B21" w:rsidRDefault="00AB24A0" w:rsidP="00AB24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>Masqueraders of AMD</w:t>
      </w:r>
    </w:p>
    <w:p w14:paraId="3D65913B" w14:textId="46E6A0BB" w:rsidR="00074227" w:rsidRPr="00CF6B21" w:rsidRDefault="00074227" w:rsidP="00AB24A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F6B21">
        <w:rPr>
          <w:rFonts w:cstheme="minorHAnsi"/>
          <w:sz w:val="22"/>
          <w:szCs w:val="22"/>
        </w:rPr>
        <w:t xml:space="preserve">Thank you – Greg Caldwell </w:t>
      </w:r>
    </w:p>
    <w:sectPr w:rsidR="00074227" w:rsidRPr="00CF6B21" w:rsidSect="000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17EA"/>
    <w:multiLevelType w:val="hybridMultilevel"/>
    <w:tmpl w:val="3828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1787E"/>
    <w:multiLevelType w:val="hybridMultilevel"/>
    <w:tmpl w:val="7278C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26FEC"/>
    <w:multiLevelType w:val="multilevel"/>
    <w:tmpl w:val="EBFA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1DC"/>
    <w:rsid w:val="00013D2C"/>
    <w:rsid w:val="00074227"/>
    <w:rsid w:val="000A4317"/>
    <w:rsid w:val="000E11DC"/>
    <w:rsid w:val="00156CC0"/>
    <w:rsid w:val="00170657"/>
    <w:rsid w:val="0018460A"/>
    <w:rsid w:val="002254ED"/>
    <w:rsid w:val="002643B0"/>
    <w:rsid w:val="002D29D9"/>
    <w:rsid w:val="002E17D7"/>
    <w:rsid w:val="004C2E77"/>
    <w:rsid w:val="004D246C"/>
    <w:rsid w:val="00554249"/>
    <w:rsid w:val="00612A24"/>
    <w:rsid w:val="006254B2"/>
    <w:rsid w:val="00694C28"/>
    <w:rsid w:val="006B576C"/>
    <w:rsid w:val="006C08EE"/>
    <w:rsid w:val="00715018"/>
    <w:rsid w:val="0073712A"/>
    <w:rsid w:val="00741A5A"/>
    <w:rsid w:val="007510F1"/>
    <w:rsid w:val="00770789"/>
    <w:rsid w:val="007E132B"/>
    <w:rsid w:val="007F277D"/>
    <w:rsid w:val="00832A37"/>
    <w:rsid w:val="00841DD1"/>
    <w:rsid w:val="008A44B9"/>
    <w:rsid w:val="008C2230"/>
    <w:rsid w:val="008D4CE5"/>
    <w:rsid w:val="008F21D7"/>
    <w:rsid w:val="0094747B"/>
    <w:rsid w:val="00991B8A"/>
    <w:rsid w:val="009E307A"/>
    <w:rsid w:val="00A56555"/>
    <w:rsid w:val="00A71787"/>
    <w:rsid w:val="00AA1D20"/>
    <w:rsid w:val="00AA2A79"/>
    <w:rsid w:val="00AB24A0"/>
    <w:rsid w:val="00B73B66"/>
    <w:rsid w:val="00BE7F64"/>
    <w:rsid w:val="00C77CCD"/>
    <w:rsid w:val="00C826E3"/>
    <w:rsid w:val="00CF6B21"/>
    <w:rsid w:val="00D342E9"/>
    <w:rsid w:val="00EA1C02"/>
    <w:rsid w:val="00EA52EA"/>
    <w:rsid w:val="00F308A4"/>
    <w:rsid w:val="00F52AD1"/>
    <w:rsid w:val="00F545C6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0880F"/>
  <w14:defaultImageDpi w14:val="32767"/>
  <w15:docId w15:val="{266D7348-4589-094A-94B4-79C5617C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6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074227"/>
    <w:rPr>
      <w:i/>
      <w:iCs/>
    </w:rPr>
  </w:style>
  <w:style w:type="character" w:styleId="Hyperlink">
    <w:name w:val="Hyperlink"/>
    <w:basedOn w:val="DefaultParagraphFont"/>
    <w:uiPriority w:val="99"/>
    <w:unhideWhenUsed/>
    <w:rsid w:val="000742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74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b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Caldwell</dc:creator>
  <cp:keywords/>
  <dc:description/>
  <cp:lastModifiedBy>Gregory Caldwell</cp:lastModifiedBy>
  <cp:revision>10</cp:revision>
  <dcterms:created xsi:type="dcterms:W3CDTF">2019-12-03T18:18:00Z</dcterms:created>
  <dcterms:modified xsi:type="dcterms:W3CDTF">2020-06-29T04:29:00Z</dcterms:modified>
</cp:coreProperties>
</file>